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7336" w14:textId="77777777" w:rsidR="00F903EE" w:rsidRDefault="00A572F0" w:rsidP="00A572F0">
      <w:pPr>
        <w:spacing w:before="161" w:after="16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kern w:val="36"/>
          <w:sz w:val="45"/>
          <w:szCs w:val="45"/>
          <w:lang w:eastAsia="en-GB"/>
        </w:rPr>
        <w:t>School admission appeals timetable</w:t>
      </w:r>
    </w:p>
    <w:p w14:paraId="0DBEE21B" w14:textId="77777777" w:rsidR="00B53DA3" w:rsidRDefault="00B53DA3" w:rsidP="00A572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</w:p>
    <w:p w14:paraId="0E140527" w14:textId="0834DEB3" w:rsidR="00A572F0" w:rsidRPr="00A572F0" w:rsidRDefault="001F27CF" w:rsidP="00A572F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Appeals for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September </w:t>
      </w:r>
      <w:r w:rsidR="007A4D72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202</w:t>
      </w:r>
      <w:r w:rsidR="00A15B0A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6</w:t>
      </w:r>
      <w:r w:rsidR="00627C8F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entry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resulting from 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year of </w:t>
      </w:r>
      <w:r w:rsidR="00A572F0"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entry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or transfer app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lications:</w:t>
      </w:r>
      <w:r w:rsidR="00F903EE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 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834"/>
        <w:gridCol w:w="2551"/>
        <w:gridCol w:w="3847"/>
      </w:tblGrid>
      <w:tr w:rsidR="00A15B0A" w:rsidRPr="00A572F0" w14:paraId="57F3FAAC" w14:textId="77777777" w:rsidTr="00A572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16563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F5C2BC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C88D4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lodged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5A0163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n-GB"/>
              </w:rPr>
              <w:t>Appeals to be heard by</w:t>
            </w:r>
          </w:p>
        </w:tc>
      </w:tr>
      <w:tr w:rsidR="00A15B0A" w:rsidRPr="00A572F0" w14:paraId="150BD85C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5E46BCE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Secondary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89713" w14:textId="1E82B5EC" w:rsidR="00A572F0" w:rsidRPr="00A572F0" w:rsidRDefault="00A15B0A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March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989A8E" w14:textId="7D410FAE" w:rsidR="00A572F0" w:rsidRPr="00A572F0" w:rsidRDefault="00A15B0A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13 April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E0D95" w14:textId="5B70B123" w:rsidR="00A572F0" w:rsidRPr="00A572F0" w:rsidRDefault="00A568F5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A15B0A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June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 w:rsidR="00A15B0A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  <w:tr w:rsidR="00A15B0A" w:rsidRPr="00A572F0" w14:paraId="691C6A23" w14:textId="77777777" w:rsidTr="00A572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7802FD" w14:textId="77777777" w:rsidR="00A572F0" w:rsidRPr="00A572F0" w:rsidRDefault="00A572F0" w:rsidP="00A572F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1754EA" w14:textId="2E559FC9" w:rsidR="00A572F0" w:rsidRPr="00A572F0" w:rsidRDefault="00A572F0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April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 w:rsidR="00A15B0A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2166E9" w14:textId="0D2FEAB3" w:rsidR="00A572F0" w:rsidRPr="00A572F0" w:rsidRDefault="00A15B0A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15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May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5B138" w14:textId="009506B5" w:rsidR="00A572F0" w:rsidRPr="00A572F0" w:rsidRDefault="00A15B0A" w:rsidP="004F1186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17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July </w:t>
            </w:r>
            <w:r w:rsidR="007A4D72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>6</w:t>
            </w:r>
            <w:r w:rsidR="00A572F0" w:rsidRPr="00A572F0">
              <w:rPr>
                <w:rFonts w:ascii="Arial" w:eastAsia="Times New Roman" w:hAnsi="Arial" w:cs="Arial"/>
                <w:color w:val="222222"/>
                <w:sz w:val="21"/>
                <w:szCs w:val="21"/>
                <w:lang w:eastAsia="en-GB"/>
              </w:rPr>
              <w:t xml:space="preserve"> (40 School days)</w:t>
            </w:r>
          </w:p>
        </w:tc>
      </w:tr>
    </w:tbl>
    <w:p w14:paraId="0220B4C8" w14:textId="7DC114CA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 </w:t>
      </w:r>
      <w:r w:rsidR="00B53DA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Please note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: Appeals will not start being heard until after the relevant closing date has passed.</w:t>
      </w:r>
    </w:p>
    <w:p w14:paraId="3BC41DFF" w14:textId="77777777" w:rsid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lodged after these dates will be heard within 40 school days of the appeal deadline or 30 school days of being lodged, whichever is the later date.</w:t>
      </w:r>
    </w:p>
    <w:p w14:paraId="36C7C815" w14:textId="7FFA34B2" w:rsidR="00915BD0" w:rsidRPr="00EC2F05" w:rsidRDefault="00915BD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</w:pPr>
      <w:r w:rsidRPr="00EC2F05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Appeals are not heard in school holidays, which will vary depending on the school.</w:t>
      </w:r>
    </w:p>
    <w:p w14:paraId="6DBF8219" w14:textId="4787EEE3" w:rsidR="00A572F0" w:rsidRPr="00A572F0" w:rsidRDefault="00A572F0" w:rsidP="00A572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Appellants will be sent notification of their appeal hearing at least 10 clear school days in advance of the hearing.</w:t>
      </w:r>
      <w:r w:rsidR="00F903EE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Appellants will be sent a copy of the school's case </w:t>
      </w:r>
      <w:r w:rsidR="00A021E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normally a week in advance </w:t>
      </w: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of the hearing.</w:t>
      </w:r>
    </w:p>
    <w:p w14:paraId="66EEEE58" w14:textId="5A938A7F" w:rsidR="00ED1437" w:rsidRDefault="00F903EE" w:rsidP="001D7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Appellants must ensure that any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further evidence not included with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their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initial appeal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is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received 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by </w:t>
      </w:r>
      <w:r w:rsidR="00A021E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the </w:t>
      </w:r>
      <w:r w:rsidR="00CD3C91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stated deadline, which will be clearly highlighted in the appeal hearing notification letter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 </w:t>
      </w:r>
      <w:r w:rsidR="00A572F0"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Any additional evidence or information received after this date might not be considered at the appeal hearing. </w:t>
      </w:r>
    </w:p>
    <w:p w14:paraId="1981BC4F" w14:textId="77777777" w:rsidR="00B53DA3" w:rsidRDefault="00B53DA3" w:rsidP="001D7E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251C5EDC" w14:textId="77777777" w:rsidR="00B53DA3" w:rsidRPr="00A572F0" w:rsidRDefault="00B53DA3" w:rsidP="00B53DA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A572F0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In year or immediate entry appeals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 xml:space="preserve"> </w:t>
      </w:r>
    </w:p>
    <w:p w14:paraId="4C6FF391" w14:textId="77777777" w:rsidR="00B53DA3" w:rsidRPr="00A572F0" w:rsidRDefault="00B53DA3" w:rsidP="00B53D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A572F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Appeals resulting from in year admission applications will be heard within 30 school days of the appeal being lodged.</w:t>
      </w:r>
    </w:p>
    <w:p w14:paraId="773A8A25" w14:textId="77777777" w:rsidR="001D7E3C" w:rsidRDefault="001D7E3C" w:rsidP="001D7E3C">
      <w:pPr>
        <w:spacing w:before="100" w:beforeAutospacing="1" w:after="100" w:afterAutospacing="1" w:line="240" w:lineRule="auto"/>
      </w:pPr>
    </w:p>
    <w:sectPr w:rsidR="001D7E3C" w:rsidSect="00984527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2055AE1"/>
    <w:multiLevelType w:val="multilevel"/>
    <w:tmpl w:val="626892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6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F0"/>
    <w:rsid w:val="00015DBD"/>
    <w:rsid w:val="00027F6C"/>
    <w:rsid w:val="000435D3"/>
    <w:rsid w:val="000469AD"/>
    <w:rsid w:val="0005032E"/>
    <w:rsid w:val="00053E06"/>
    <w:rsid w:val="00072450"/>
    <w:rsid w:val="000B1935"/>
    <w:rsid w:val="000C3FD3"/>
    <w:rsid w:val="000D3B31"/>
    <w:rsid w:val="001210BA"/>
    <w:rsid w:val="00121D08"/>
    <w:rsid w:val="00163EFC"/>
    <w:rsid w:val="001675F0"/>
    <w:rsid w:val="001719FE"/>
    <w:rsid w:val="001A63E3"/>
    <w:rsid w:val="001C375D"/>
    <w:rsid w:val="001D1FD9"/>
    <w:rsid w:val="001D6D32"/>
    <w:rsid w:val="001D7E3C"/>
    <w:rsid w:val="001F27CF"/>
    <w:rsid w:val="002356DE"/>
    <w:rsid w:val="002469CB"/>
    <w:rsid w:val="002502E9"/>
    <w:rsid w:val="00271E25"/>
    <w:rsid w:val="002B795E"/>
    <w:rsid w:val="002C0577"/>
    <w:rsid w:val="002C2B0A"/>
    <w:rsid w:val="003000D9"/>
    <w:rsid w:val="003344A0"/>
    <w:rsid w:val="00370694"/>
    <w:rsid w:val="0037454E"/>
    <w:rsid w:val="003B68E5"/>
    <w:rsid w:val="003C27C6"/>
    <w:rsid w:val="003E58DF"/>
    <w:rsid w:val="00401DB7"/>
    <w:rsid w:val="00445870"/>
    <w:rsid w:val="004A0F94"/>
    <w:rsid w:val="004C60DF"/>
    <w:rsid w:val="004F1186"/>
    <w:rsid w:val="0050193A"/>
    <w:rsid w:val="005454FE"/>
    <w:rsid w:val="00574B8B"/>
    <w:rsid w:val="00576BCC"/>
    <w:rsid w:val="00580DB4"/>
    <w:rsid w:val="0058411F"/>
    <w:rsid w:val="0058603B"/>
    <w:rsid w:val="005E40B9"/>
    <w:rsid w:val="00615E81"/>
    <w:rsid w:val="006163D3"/>
    <w:rsid w:val="00627C8F"/>
    <w:rsid w:val="006472AD"/>
    <w:rsid w:val="006504F3"/>
    <w:rsid w:val="00673F47"/>
    <w:rsid w:val="0067727B"/>
    <w:rsid w:val="00690D7D"/>
    <w:rsid w:val="00691E47"/>
    <w:rsid w:val="00693417"/>
    <w:rsid w:val="006B4466"/>
    <w:rsid w:val="006D6E66"/>
    <w:rsid w:val="006E14DC"/>
    <w:rsid w:val="00716BD1"/>
    <w:rsid w:val="00780ED3"/>
    <w:rsid w:val="00791464"/>
    <w:rsid w:val="007A2550"/>
    <w:rsid w:val="007A4D72"/>
    <w:rsid w:val="007C6FD4"/>
    <w:rsid w:val="00800812"/>
    <w:rsid w:val="00814CEB"/>
    <w:rsid w:val="00830AD9"/>
    <w:rsid w:val="0083197D"/>
    <w:rsid w:val="008936E7"/>
    <w:rsid w:val="008B09D2"/>
    <w:rsid w:val="008E5ADB"/>
    <w:rsid w:val="00915BD0"/>
    <w:rsid w:val="009262CB"/>
    <w:rsid w:val="00974D8A"/>
    <w:rsid w:val="00984527"/>
    <w:rsid w:val="00984A73"/>
    <w:rsid w:val="0098528D"/>
    <w:rsid w:val="00986652"/>
    <w:rsid w:val="00986C41"/>
    <w:rsid w:val="00990379"/>
    <w:rsid w:val="00996CC1"/>
    <w:rsid w:val="009A1ED4"/>
    <w:rsid w:val="009B47B7"/>
    <w:rsid w:val="009E60E0"/>
    <w:rsid w:val="009E7E1A"/>
    <w:rsid w:val="00A021E1"/>
    <w:rsid w:val="00A03CE5"/>
    <w:rsid w:val="00A12B2F"/>
    <w:rsid w:val="00A15B0A"/>
    <w:rsid w:val="00A16A74"/>
    <w:rsid w:val="00A42741"/>
    <w:rsid w:val="00A52525"/>
    <w:rsid w:val="00A568F5"/>
    <w:rsid w:val="00A572F0"/>
    <w:rsid w:val="00A93B93"/>
    <w:rsid w:val="00AC6AFC"/>
    <w:rsid w:val="00B50591"/>
    <w:rsid w:val="00B51D74"/>
    <w:rsid w:val="00B53DA3"/>
    <w:rsid w:val="00B57C13"/>
    <w:rsid w:val="00B93E49"/>
    <w:rsid w:val="00BB554B"/>
    <w:rsid w:val="00BC3B97"/>
    <w:rsid w:val="00BD3CED"/>
    <w:rsid w:val="00BE654C"/>
    <w:rsid w:val="00BF0711"/>
    <w:rsid w:val="00C44616"/>
    <w:rsid w:val="00C459EC"/>
    <w:rsid w:val="00C55E3C"/>
    <w:rsid w:val="00C63368"/>
    <w:rsid w:val="00C658C0"/>
    <w:rsid w:val="00C800E5"/>
    <w:rsid w:val="00C84999"/>
    <w:rsid w:val="00C90BB3"/>
    <w:rsid w:val="00CA23EB"/>
    <w:rsid w:val="00CA2BAB"/>
    <w:rsid w:val="00CB7318"/>
    <w:rsid w:val="00CC3F26"/>
    <w:rsid w:val="00CD3C91"/>
    <w:rsid w:val="00CD44C0"/>
    <w:rsid w:val="00D024B1"/>
    <w:rsid w:val="00D0662C"/>
    <w:rsid w:val="00D241CE"/>
    <w:rsid w:val="00D3286C"/>
    <w:rsid w:val="00D33C52"/>
    <w:rsid w:val="00D518C7"/>
    <w:rsid w:val="00D64115"/>
    <w:rsid w:val="00D84CA2"/>
    <w:rsid w:val="00DB47A8"/>
    <w:rsid w:val="00E36BDE"/>
    <w:rsid w:val="00E613C9"/>
    <w:rsid w:val="00E6296B"/>
    <w:rsid w:val="00E8239D"/>
    <w:rsid w:val="00E959B0"/>
    <w:rsid w:val="00EA72AF"/>
    <w:rsid w:val="00EC0FC2"/>
    <w:rsid w:val="00EC2F05"/>
    <w:rsid w:val="00EC5D37"/>
    <w:rsid w:val="00ED1437"/>
    <w:rsid w:val="00ED1838"/>
    <w:rsid w:val="00EE3A5C"/>
    <w:rsid w:val="00EE7857"/>
    <w:rsid w:val="00F53AAA"/>
    <w:rsid w:val="00F55412"/>
    <w:rsid w:val="00F56984"/>
    <w:rsid w:val="00F903EE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84CE4F"/>
  <w15:docId w15:val="{EDC55911-1640-4514-BF6C-CD10863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37"/>
  </w:style>
  <w:style w:type="paragraph" w:styleId="Heading1">
    <w:name w:val="heading 1"/>
    <w:basedOn w:val="Normal"/>
    <w:link w:val="Heading1Char"/>
    <w:uiPriority w:val="9"/>
    <w:qFormat/>
    <w:rsid w:val="00A572F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F0"/>
    <w:rPr>
      <w:rFonts w:ascii="Times New Roman" w:eastAsia="Times New Roman" w:hAnsi="Times New Roman" w:cs="Times New Roman"/>
      <w:b/>
      <w:bCs/>
      <w:kern w:val="36"/>
      <w:sz w:val="45"/>
      <w:szCs w:val="4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2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572F0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5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0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3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04F87BF5FD4F95D1D000B15E1BFE" ma:contentTypeVersion="16" ma:contentTypeDescription="Create a new document." ma:contentTypeScope="" ma:versionID="6cc67ea5263774d0648b9e017f603472">
  <xsd:schema xmlns:xsd="http://www.w3.org/2001/XMLSchema" xmlns:xs="http://www.w3.org/2001/XMLSchema" xmlns:p="http://schemas.microsoft.com/office/2006/metadata/properties" xmlns:ns2="4be1832d-829f-43a8-a714-9429fb68af74" xmlns:ns3="4bab0d21-c077-41dd-863f-bac13fc03154" targetNamespace="http://schemas.microsoft.com/office/2006/metadata/properties" ma:root="true" ma:fieldsID="2b9065d94b067b37295912df5d7cc44c" ns2:_="" ns3:_="">
    <xsd:import namespace="4be1832d-829f-43a8-a714-9429fb68af74"/>
    <xsd:import namespace="4bab0d21-c077-41dd-863f-bac13fc03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832d-829f-43a8-a714-9429fb68a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d705501-5768-411a-b194-e848ca966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b0d21-c077-41dd-863f-bac13fc03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433bd6-a550-4916-a9bf-1b0c74409e8d}" ma:internalName="TaxCatchAll" ma:showField="CatchAllData" ma:web="4bab0d21-c077-41dd-863f-bac13fc03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832d-829f-43a8-a714-9429fb68af74">
      <Terms xmlns="http://schemas.microsoft.com/office/infopath/2007/PartnerControls"/>
    </lcf76f155ced4ddcb4097134ff3c332f>
    <TaxCatchAll xmlns="4bab0d21-c077-41dd-863f-bac13fc03154" xsi:nil="true"/>
  </documentManagement>
</p:properties>
</file>

<file path=customXml/itemProps1.xml><?xml version="1.0" encoding="utf-8"?>
<ds:datastoreItem xmlns:ds="http://schemas.openxmlformats.org/officeDocument/2006/customXml" ds:itemID="{F685DEF7-B1B6-4917-B1B2-DB28AEE81EF9}"/>
</file>

<file path=customXml/itemProps2.xml><?xml version="1.0" encoding="utf-8"?>
<ds:datastoreItem xmlns:ds="http://schemas.openxmlformats.org/officeDocument/2006/customXml" ds:itemID="{73EED844-D35A-48B2-852B-5AEFDB3552F7}"/>
</file>

<file path=customXml/itemProps3.xml><?xml version="1.0" encoding="utf-8"?>
<ds:datastoreItem xmlns:ds="http://schemas.openxmlformats.org/officeDocument/2006/customXml" ds:itemID="{B8DDEB01-4C64-40BB-A121-7F2AB47C1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DavidEva</dc:creator>
  <cp:lastModifiedBy>Angela Bridgman</cp:lastModifiedBy>
  <cp:revision>2</cp:revision>
  <dcterms:created xsi:type="dcterms:W3CDTF">2025-09-03T12:05:00Z</dcterms:created>
  <dcterms:modified xsi:type="dcterms:W3CDTF">2025-09-03T12:05:00Z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0x010100999404F87BF5FD4F95D1D000B15E1BFE</vt:lpwstr>
  </property>
</Properties>
</file>